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3268E" w14:textId="77777777" w:rsidR="00491A55" w:rsidRPr="00AC475B" w:rsidRDefault="00491A55" w:rsidP="00491A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C475B">
        <w:rPr>
          <w:rFonts w:ascii="Times New Roman" w:eastAsia="Calibri" w:hAnsi="Times New Roman" w:cs="Times New Roman"/>
          <w:b/>
          <w:sz w:val="28"/>
          <w:szCs w:val="28"/>
        </w:rPr>
        <w:t>Лизинговый продукт для субъектов малого и среднего предпринимательства</w:t>
      </w:r>
    </w:p>
    <w:p w14:paraId="79CB0E11" w14:textId="77777777" w:rsidR="00491A55" w:rsidRPr="00AC475B" w:rsidRDefault="00491A55" w:rsidP="00491A5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C475B">
        <w:rPr>
          <w:rFonts w:ascii="Times New Roman" w:eastAsia="Calibri" w:hAnsi="Times New Roman" w:cs="Times New Roman"/>
          <w:b/>
          <w:sz w:val="28"/>
          <w:szCs w:val="28"/>
        </w:rPr>
        <w:t>«Поддержка организаций производственной сферы»</w:t>
      </w:r>
    </w:p>
    <w:tbl>
      <w:tblPr>
        <w:tblStyle w:val="15"/>
        <w:tblW w:w="12458" w:type="dxa"/>
        <w:jc w:val="center"/>
        <w:tblLook w:val="04A0" w:firstRow="1" w:lastRow="0" w:firstColumn="1" w:lastColumn="0" w:noHBand="0" w:noVBand="1"/>
      </w:tblPr>
      <w:tblGrid>
        <w:gridCol w:w="2440"/>
        <w:gridCol w:w="2504"/>
        <w:gridCol w:w="2505"/>
        <w:gridCol w:w="2504"/>
        <w:gridCol w:w="2505"/>
      </w:tblGrid>
      <w:tr w:rsidR="00AA0740" w:rsidRPr="008D5F0F" w14:paraId="25B889D1" w14:textId="77777777" w:rsidTr="00EA06D8">
        <w:trPr>
          <w:trHeight w:val="691"/>
          <w:jc w:val="center"/>
        </w:trPr>
        <w:tc>
          <w:tcPr>
            <w:tcW w:w="2440" w:type="dxa"/>
            <w:vMerge w:val="restart"/>
            <w:vAlign w:val="center"/>
          </w:tcPr>
          <w:p w14:paraId="191EC79C" w14:textId="77777777" w:rsidR="00AA0740" w:rsidRPr="00AC475B" w:rsidRDefault="00AA0740" w:rsidP="00B730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475B">
              <w:rPr>
                <w:rFonts w:ascii="Times New Roman" w:eastAsia="Calibri" w:hAnsi="Times New Roman" w:cs="Times New Roman"/>
                <w:sz w:val="24"/>
                <w:szCs w:val="24"/>
              </w:rPr>
              <w:t>Условия</w:t>
            </w:r>
          </w:p>
        </w:tc>
        <w:tc>
          <w:tcPr>
            <w:tcW w:w="10018" w:type="dxa"/>
            <w:gridSpan w:val="4"/>
            <w:vAlign w:val="center"/>
          </w:tcPr>
          <w:p w14:paraId="40B61E63" w14:textId="15C5E958" w:rsidR="00AA0740" w:rsidRPr="008D5F0F" w:rsidRDefault="00AA0740" w:rsidP="00B730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475B">
              <w:rPr>
                <w:rFonts w:ascii="Times New Roman" w:eastAsia="Calibri" w:hAnsi="Times New Roman" w:cs="Times New Roman"/>
                <w:sz w:val="24"/>
                <w:szCs w:val="24"/>
              </w:rPr>
              <w:t>Субъекты МСП-Лизингополучатели</w:t>
            </w:r>
          </w:p>
        </w:tc>
      </w:tr>
      <w:tr w:rsidR="00AA0740" w:rsidRPr="008D5F0F" w14:paraId="520D2539" w14:textId="77777777" w:rsidTr="00F8732E">
        <w:trPr>
          <w:trHeight w:val="691"/>
          <w:jc w:val="center"/>
        </w:trPr>
        <w:tc>
          <w:tcPr>
            <w:tcW w:w="2440" w:type="dxa"/>
            <w:vMerge/>
            <w:vAlign w:val="center"/>
          </w:tcPr>
          <w:p w14:paraId="746DDE67" w14:textId="77777777" w:rsidR="00AA0740" w:rsidRPr="008D5F0F" w:rsidRDefault="00AA0740" w:rsidP="00EA06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14:paraId="1251417E" w14:textId="40CB35D2" w:rsidR="00AA0740" w:rsidRPr="008D5F0F" w:rsidRDefault="00AA0740" w:rsidP="00EA06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06D8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индивидуальные предприниматели</w:t>
            </w:r>
          </w:p>
        </w:tc>
        <w:tc>
          <w:tcPr>
            <w:tcW w:w="2505" w:type="dxa"/>
            <w:vAlign w:val="center"/>
          </w:tcPr>
          <w:p w14:paraId="524A2F40" w14:textId="4EDC99E0" w:rsidR="00AA0740" w:rsidRPr="008D5F0F" w:rsidRDefault="00AA0740" w:rsidP="00EA06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A06D8">
              <w:rPr>
                <w:rFonts w:ascii="Times New Roman" w:eastAsia="Calibri" w:hAnsi="Times New Roman" w:cs="Times New Roman"/>
                <w:sz w:val="24"/>
                <w:szCs w:val="24"/>
              </w:rPr>
              <w:t>микроорганизации</w:t>
            </w:r>
            <w:proofErr w:type="spellEnd"/>
          </w:p>
        </w:tc>
        <w:tc>
          <w:tcPr>
            <w:tcW w:w="2504" w:type="dxa"/>
            <w:vAlign w:val="center"/>
          </w:tcPr>
          <w:p w14:paraId="03039819" w14:textId="0007F607" w:rsidR="00AA0740" w:rsidRPr="008D5F0F" w:rsidRDefault="00AA0740" w:rsidP="00EA06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06D8">
              <w:rPr>
                <w:rFonts w:ascii="Times New Roman" w:eastAsia="Calibri" w:hAnsi="Times New Roman" w:cs="Times New Roman"/>
                <w:sz w:val="24"/>
                <w:szCs w:val="24"/>
              </w:rPr>
              <w:t>малые организации</w:t>
            </w:r>
          </w:p>
        </w:tc>
        <w:tc>
          <w:tcPr>
            <w:tcW w:w="2505" w:type="dxa"/>
            <w:vAlign w:val="center"/>
          </w:tcPr>
          <w:p w14:paraId="35F9FA89" w14:textId="4C76213D" w:rsidR="00AA0740" w:rsidRPr="008D5F0F" w:rsidRDefault="00AA0740" w:rsidP="00EA06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06D8">
              <w:rPr>
                <w:rFonts w:ascii="Times New Roman" w:eastAsia="Calibri" w:hAnsi="Times New Roman" w:cs="Times New Roman"/>
                <w:sz w:val="24"/>
                <w:szCs w:val="24"/>
              </w:rPr>
              <w:t>субъекты среднего предпринимательства</w:t>
            </w:r>
          </w:p>
        </w:tc>
      </w:tr>
      <w:tr w:rsidR="00AA0740" w:rsidRPr="008D5F0F" w14:paraId="68D11E63" w14:textId="77777777" w:rsidTr="000F4E27">
        <w:trPr>
          <w:trHeight w:val="691"/>
          <w:jc w:val="center"/>
        </w:trPr>
        <w:tc>
          <w:tcPr>
            <w:tcW w:w="2440" w:type="dxa"/>
            <w:vMerge/>
            <w:vAlign w:val="center"/>
          </w:tcPr>
          <w:p w14:paraId="2118F6B8" w14:textId="77777777" w:rsidR="00AA0740" w:rsidRPr="008D5F0F" w:rsidRDefault="00AA0740" w:rsidP="00EA06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vAlign w:val="center"/>
          </w:tcPr>
          <w:p w14:paraId="7B5CC94E" w14:textId="77777777" w:rsidR="00AA0740" w:rsidRPr="008D5F0F" w:rsidRDefault="00AA0740" w:rsidP="00EA06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vAlign w:val="center"/>
          </w:tcPr>
          <w:p w14:paraId="31A3AF78" w14:textId="6AE611ED" w:rsidR="00AA0740" w:rsidRPr="008D5F0F" w:rsidRDefault="00AA0740" w:rsidP="00EA06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06D8">
              <w:rPr>
                <w:rFonts w:ascii="Times New Roman" w:eastAsia="Calibri" w:hAnsi="Times New Roman" w:cs="Times New Roman"/>
                <w:sz w:val="24"/>
                <w:szCs w:val="24"/>
              </w:rPr>
              <w:t>до 15 человек включительно</w:t>
            </w:r>
          </w:p>
        </w:tc>
        <w:tc>
          <w:tcPr>
            <w:tcW w:w="2504" w:type="dxa"/>
            <w:vAlign w:val="center"/>
          </w:tcPr>
          <w:p w14:paraId="6F8F6B6D" w14:textId="174AA6BD" w:rsidR="00AA0740" w:rsidRPr="008D5F0F" w:rsidRDefault="00AA0740" w:rsidP="00EA06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06D8">
              <w:rPr>
                <w:rFonts w:ascii="Times New Roman" w:eastAsia="Calibri" w:hAnsi="Times New Roman" w:cs="Times New Roman"/>
                <w:sz w:val="24"/>
                <w:szCs w:val="24"/>
              </w:rPr>
              <w:t>от 16 до 100 человек включительно</w:t>
            </w:r>
          </w:p>
        </w:tc>
        <w:tc>
          <w:tcPr>
            <w:tcW w:w="2505" w:type="dxa"/>
            <w:vAlign w:val="center"/>
          </w:tcPr>
          <w:p w14:paraId="55BDAE36" w14:textId="25EB5B08" w:rsidR="00AA0740" w:rsidRPr="008D5F0F" w:rsidRDefault="00AA0740" w:rsidP="00EA06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06D8">
              <w:rPr>
                <w:rFonts w:ascii="Times New Roman" w:eastAsia="Calibri" w:hAnsi="Times New Roman" w:cs="Times New Roman"/>
                <w:sz w:val="24"/>
                <w:szCs w:val="24"/>
              </w:rPr>
              <w:t>от 101 до 250 человек включительно</w:t>
            </w:r>
          </w:p>
        </w:tc>
      </w:tr>
      <w:tr w:rsidR="00AA0740" w:rsidRPr="008D5F0F" w14:paraId="146E5A20" w14:textId="77777777" w:rsidTr="00865B88">
        <w:trPr>
          <w:trHeight w:val="691"/>
          <w:jc w:val="center"/>
        </w:trPr>
        <w:tc>
          <w:tcPr>
            <w:tcW w:w="2440" w:type="dxa"/>
            <w:vMerge/>
            <w:vAlign w:val="center"/>
          </w:tcPr>
          <w:p w14:paraId="7E7F02AD" w14:textId="77777777" w:rsidR="00AA0740" w:rsidRPr="008D5F0F" w:rsidRDefault="00AA0740" w:rsidP="00EA06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18" w:type="dxa"/>
            <w:gridSpan w:val="4"/>
            <w:vAlign w:val="center"/>
          </w:tcPr>
          <w:p w14:paraId="0265BF73" w14:textId="4397F718" w:rsidR="00AA0740" w:rsidRPr="00EA06D8" w:rsidRDefault="00AA0740" w:rsidP="00AA07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07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выручки от реализации продукции, товаров, работ, услуг (без учета НДС) за предыдущий календарный год для индивидуальных предпринимателей, </w:t>
            </w:r>
            <w:proofErr w:type="spellStart"/>
            <w:r w:rsidRPr="00AA0740">
              <w:rPr>
                <w:rFonts w:ascii="Times New Roman" w:eastAsia="Calibri" w:hAnsi="Times New Roman" w:cs="Times New Roman"/>
                <w:sz w:val="24"/>
                <w:szCs w:val="24"/>
              </w:rPr>
              <w:t>микроорганизаций</w:t>
            </w:r>
            <w:proofErr w:type="spellEnd"/>
            <w:r w:rsidRPr="00AA0740">
              <w:rPr>
                <w:rFonts w:ascii="Times New Roman" w:eastAsia="Calibri" w:hAnsi="Times New Roman" w:cs="Times New Roman"/>
                <w:sz w:val="24"/>
                <w:szCs w:val="24"/>
              </w:rPr>
              <w:t>, малых организаций, субъектов среднего предпринимательства не должен превышать 35 000 000,00 (Тридцать пять миллионов белорусских рублей 00 копеек).</w:t>
            </w:r>
          </w:p>
        </w:tc>
      </w:tr>
      <w:tr w:rsidR="00B635B4" w:rsidRPr="008D5F0F" w14:paraId="080CAE6D" w14:textId="77777777" w:rsidTr="00FC75ED">
        <w:trPr>
          <w:jc w:val="center"/>
        </w:trPr>
        <w:tc>
          <w:tcPr>
            <w:tcW w:w="2440" w:type="dxa"/>
            <w:vAlign w:val="center"/>
          </w:tcPr>
          <w:p w14:paraId="581DF5B6" w14:textId="4E2149F5" w:rsidR="00B635B4" w:rsidRPr="008D5F0F" w:rsidRDefault="00B635B4" w:rsidP="00595F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5B4"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отбора лизингополучателя</w:t>
            </w:r>
          </w:p>
        </w:tc>
        <w:tc>
          <w:tcPr>
            <w:tcW w:w="10018" w:type="dxa"/>
            <w:gridSpan w:val="4"/>
            <w:vAlign w:val="center"/>
          </w:tcPr>
          <w:p w14:paraId="6E1F0C8D" w14:textId="54AB6EDD" w:rsidR="00B635B4" w:rsidRPr="00B635B4" w:rsidRDefault="00B635B4" w:rsidP="00B635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5B4">
              <w:rPr>
                <w:rFonts w:ascii="Times New Roman" w:eastAsia="Calibri" w:hAnsi="Times New Roman" w:cs="Times New Roman"/>
                <w:sz w:val="24"/>
                <w:szCs w:val="24"/>
              </w:rPr>
              <w:t>- является индивидуальным предпринимателем или коммерческой организацией – резидентом Республики Беларусь, осуществляет деятельность на территории Республики Беларусь;</w:t>
            </w:r>
          </w:p>
          <w:p w14:paraId="3831612E" w14:textId="5EA8135D" w:rsidR="00B635B4" w:rsidRPr="00B635B4" w:rsidRDefault="00B635B4" w:rsidP="00B635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5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суммарная доля собственности нерезидентов Республики Беларусь не более чем 49 (сорок девять) процентов уставного фонда </w:t>
            </w:r>
            <w:r w:rsidR="00EE18F6">
              <w:rPr>
                <w:rFonts w:ascii="Times New Roman" w:eastAsia="Calibri" w:hAnsi="Times New Roman" w:cs="Times New Roman"/>
                <w:sz w:val="24"/>
                <w:szCs w:val="24"/>
              </w:rPr>
              <w:t>Лизингополучателя</w:t>
            </w:r>
            <w:r w:rsidRPr="00B635B4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5969E12D" w14:textId="42A1D907" w:rsidR="00B635B4" w:rsidRPr="00B635B4" w:rsidRDefault="00B635B4" w:rsidP="00B635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5B4">
              <w:rPr>
                <w:rFonts w:ascii="Times New Roman" w:eastAsia="Calibri" w:hAnsi="Times New Roman" w:cs="Times New Roman"/>
                <w:sz w:val="24"/>
                <w:szCs w:val="24"/>
              </w:rPr>
              <w:t>- не имеет просроченной задолженности по актив</w:t>
            </w:r>
            <w:r w:rsidR="00EE18F6">
              <w:rPr>
                <w:rFonts w:ascii="Times New Roman" w:eastAsia="Calibri" w:hAnsi="Times New Roman" w:cs="Times New Roman"/>
                <w:sz w:val="24"/>
                <w:szCs w:val="24"/>
              </w:rPr>
              <w:t>ам, подверженным кредитному риску перед</w:t>
            </w:r>
            <w:r w:rsidRPr="00B635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банками, в том числе перед Банком </w:t>
            </w:r>
            <w:r w:rsidR="00EE18F6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B635B4">
              <w:rPr>
                <w:rFonts w:ascii="Times New Roman" w:eastAsia="Calibri" w:hAnsi="Times New Roman" w:cs="Times New Roman"/>
                <w:sz w:val="24"/>
                <w:szCs w:val="24"/>
              </w:rPr>
              <w:t>азвития, дочерними организациями Банка развития;</w:t>
            </w:r>
          </w:p>
          <w:p w14:paraId="4DF04F6B" w14:textId="14036169" w:rsidR="00B635B4" w:rsidRPr="00B635B4" w:rsidRDefault="00B635B4" w:rsidP="00B635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5B4">
              <w:rPr>
                <w:rFonts w:ascii="Times New Roman" w:eastAsia="Calibri" w:hAnsi="Times New Roman" w:cs="Times New Roman"/>
                <w:sz w:val="24"/>
                <w:szCs w:val="24"/>
              </w:rPr>
              <w:t>- является независимым. Субъект МСП не признается независимым, если 25 (двадцать пять) процентов и более акций (долей его уставного фонда) принадлежит лицу, которое не удовлетворяет критериям классификации Субъектов МСП (за исключением: лиц, являющихся Республикой Беларусь, административно-территориальными единицами Республики Беларусь; юридических лиц, имущество которых принадлежит Республике Беларусь или ее административно-территориальным единицам; а также юридических лиц, сто процентов акций (долей уставного фонда) которых принадлежит Республике Беларусь и (или) ее административно-территориальным единицам или юридическим лицам, имущество которых принадлежит Республики Беларусь или ее административно-территориальным единицам);</w:t>
            </w:r>
          </w:p>
          <w:p w14:paraId="4231362F" w14:textId="77777777" w:rsidR="00B635B4" w:rsidRDefault="00B635B4" w:rsidP="00B635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5B4">
              <w:rPr>
                <w:rFonts w:ascii="Times New Roman" w:eastAsia="Calibri" w:hAnsi="Times New Roman" w:cs="Times New Roman"/>
                <w:sz w:val="24"/>
                <w:szCs w:val="24"/>
              </w:rPr>
              <w:t>- не находится в процессе реорганизации, ликвидации (прекращения деятельности), экономической несостоятельности (банкротства)</w:t>
            </w:r>
          </w:p>
          <w:p w14:paraId="1068302B" w14:textId="763F3182" w:rsidR="00EE18F6" w:rsidRPr="008D5F0F" w:rsidRDefault="00EE18F6" w:rsidP="00B635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не является Субъектом МСП, финансирование которого запрещено в соответствии со специальными экономическими мерами (за исключением сделок в белорусских рублях).</w:t>
            </w:r>
          </w:p>
        </w:tc>
      </w:tr>
      <w:tr w:rsidR="00EA06D8" w:rsidRPr="008D5F0F" w14:paraId="6077973F" w14:textId="77777777" w:rsidTr="00EA06D8">
        <w:trPr>
          <w:jc w:val="center"/>
        </w:trPr>
        <w:tc>
          <w:tcPr>
            <w:tcW w:w="2440" w:type="dxa"/>
          </w:tcPr>
          <w:p w14:paraId="0EA1FF1C" w14:textId="77777777" w:rsidR="00EA06D8" w:rsidRPr="008D5F0F" w:rsidRDefault="00EA06D8" w:rsidP="00EA06D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F0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Целевое использование средств</w:t>
            </w:r>
          </w:p>
        </w:tc>
        <w:tc>
          <w:tcPr>
            <w:tcW w:w="10018" w:type="dxa"/>
            <w:gridSpan w:val="4"/>
          </w:tcPr>
          <w:p w14:paraId="4D055415" w14:textId="77777777" w:rsidR="00EA06D8" w:rsidRPr="008D5F0F" w:rsidRDefault="00EA06D8" w:rsidP="00EA06D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F0F">
              <w:rPr>
                <w:rFonts w:ascii="Times New Roman" w:eastAsia="Calibri" w:hAnsi="Times New Roman" w:cs="Times New Roman"/>
                <w:sz w:val="24"/>
                <w:szCs w:val="24"/>
              </w:rPr>
              <w:t>Финансирование затрат Лизинговых организаций, связанных с приобретением имущества</w:t>
            </w:r>
            <w:r w:rsidRPr="008D5F0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1"/>
            </w:r>
            <w:r w:rsidRPr="008D5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целью последующей передачи в лизинг субъектам МСП – лизингополучателям для их производственной деятельности или деятельности по оказанию услуг</w:t>
            </w:r>
          </w:p>
        </w:tc>
      </w:tr>
      <w:tr w:rsidR="00EA06D8" w:rsidRPr="008D5F0F" w14:paraId="38AA0515" w14:textId="77777777" w:rsidTr="00EA06D8">
        <w:trPr>
          <w:jc w:val="center"/>
        </w:trPr>
        <w:tc>
          <w:tcPr>
            <w:tcW w:w="2440" w:type="dxa"/>
          </w:tcPr>
          <w:p w14:paraId="66F2421F" w14:textId="77777777" w:rsidR="00EA06D8" w:rsidRPr="008D5F0F" w:rsidRDefault="00EA06D8" w:rsidP="00EA06D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F0F">
              <w:rPr>
                <w:rFonts w:ascii="Times New Roman" w:eastAsia="Calibri" w:hAnsi="Times New Roman" w:cs="Times New Roman"/>
                <w:sz w:val="24"/>
                <w:szCs w:val="24"/>
              </w:rPr>
              <w:t>Целевой сегмент субъектов МСП</w:t>
            </w:r>
          </w:p>
        </w:tc>
        <w:tc>
          <w:tcPr>
            <w:tcW w:w="10018" w:type="dxa"/>
            <w:gridSpan w:val="4"/>
          </w:tcPr>
          <w:p w14:paraId="79D34279" w14:textId="20A1EE01" w:rsidR="00EA06D8" w:rsidRPr="008D5F0F" w:rsidRDefault="00EA06D8" w:rsidP="00EA06D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Субъекты МСП: вид экономической деятельности для реализации </w:t>
            </w:r>
            <w:proofErr w:type="spellStart"/>
            <w:r w:rsidRPr="008D5F0F">
              <w:rPr>
                <w:rFonts w:ascii="Times New Roman" w:eastAsia="Calibri" w:hAnsi="Times New Roman" w:cs="Times New Roman"/>
                <w:sz w:val="24"/>
                <w:szCs w:val="24"/>
              </w:rPr>
              <w:t>Субпроекта</w:t>
            </w:r>
            <w:proofErr w:type="spellEnd"/>
            <w:r w:rsidRPr="008D5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относится к секциям А – </w:t>
            </w:r>
            <w:r w:rsidRPr="008D5F0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  <w:r w:rsidRPr="008D5F0F">
              <w:rPr>
                <w:rFonts w:ascii="Times New Roman" w:eastAsia="Calibri" w:hAnsi="Times New Roman" w:cs="Times New Roman"/>
                <w:sz w:val="24"/>
                <w:szCs w:val="24"/>
              </w:rPr>
              <w:t>; секции С (за исключением подклассов 11010, 11040, 25400, 30400, раздела 12);</w:t>
            </w:r>
            <w:r w:rsidRPr="001A5D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5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секциям </w:t>
            </w:r>
            <w:r w:rsidRPr="008D5F0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8D5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Pr="008D5F0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5F0F">
              <w:rPr>
                <w:rFonts w:ascii="Times New Roman" w:eastAsia="Calibri" w:hAnsi="Times New Roman" w:cs="Times New Roman"/>
                <w:sz w:val="24"/>
                <w:szCs w:val="24"/>
              </w:rPr>
              <w:t>согласно ОКЭД</w:t>
            </w:r>
            <w:r>
              <w:rPr>
                <w:rStyle w:val="af2"/>
                <w:rFonts w:ascii="Times New Roman" w:eastAsia="Calibri" w:hAnsi="Times New Roman" w:cs="Times New Roman"/>
                <w:sz w:val="24"/>
                <w:szCs w:val="24"/>
              </w:rPr>
              <w:footnoteReference w:id="2"/>
            </w:r>
            <w:r w:rsidRPr="008D5F0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BC4684" w:rsidRPr="008D5F0F" w14:paraId="76A1BF13" w14:textId="77777777" w:rsidTr="00EA06D8">
        <w:trPr>
          <w:jc w:val="center"/>
        </w:trPr>
        <w:tc>
          <w:tcPr>
            <w:tcW w:w="2440" w:type="dxa"/>
          </w:tcPr>
          <w:p w14:paraId="310C7AAD" w14:textId="37AE39FB" w:rsidR="00BC4684" w:rsidRPr="008D5F0F" w:rsidRDefault="00BC4684" w:rsidP="00BC46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2D92">
              <w:rPr>
                <w:rFonts w:ascii="Times New Roman" w:eastAsia="Calibri" w:hAnsi="Times New Roman" w:cs="Times New Roman"/>
                <w:sz w:val="24"/>
                <w:szCs w:val="24"/>
              </w:rPr>
              <w:t>Предмет лизинга</w:t>
            </w:r>
          </w:p>
        </w:tc>
        <w:tc>
          <w:tcPr>
            <w:tcW w:w="10018" w:type="dxa"/>
            <w:gridSpan w:val="4"/>
          </w:tcPr>
          <w:p w14:paraId="46CB0C40" w14:textId="31F3170B" w:rsidR="00BC4684" w:rsidRPr="008D5F0F" w:rsidRDefault="00BC4684" w:rsidP="00BC46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2D92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средства стоимостью от 1000 базовых величин (исключение транспортные средства).</w:t>
            </w:r>
          </w:p>
        </w:tc>
      </w:tr>
      <w:tr w:rsidR="00BC4684" w:rsidRPr="008D5F0F" w14:paraId="5B59E1AB" w14:textId="77777777" w:rsidTr="00EA06D8">
        <w:trPr>
          <w:jc w:val="center"/>
        </w:trPr>
        <w:tc>
          <w:tcPr>
            <w:tcW w:w="2440" w:type="dxa"/>
          </w:tcPr>
          <w:p w14:paraId="034DC39E" w14:textId="55C7D810" w:rsidR="00BC4684" w:rsidRPr="008D5F0F" w:rsidRDefault="00BC4684" w:rsidP="00BC46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2D92">
              <w:rPr>
                <w:rFonts w:ascii="Times New Roman" w:eastAsia="Calibri" w:hAnsi="Times New Roman" w:cs="Times New Roman"/>
                <w:sz w:val="24"/>
                <w:szCs w:val="24"/>
              </w:rPr>
              <w:t>Поставщик</w:t>
            </w:r>
          </w:p>
        </w:tc>
        <w:tc>
          <w:tcPr>
            <w:tcW w:w="10018" w:type="dxa"/>
            <w:gridSpan w:val="4"/>
          </w:tcPr>
          <w:p w14:paraId="595635C6" w14:textId="6EB8BA32" w:rsidR="00BC4684" w:rsidRPr="008D5F0F" w:rsidRDefault="00BC4684" w:rsidP="00BC46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2D92">
              <w:rPr>
                <w:rFonts w:ascii="Times New Roman" w:eastAsia="Calibri" w:hAnsi="Times New Roman" w:cs="Times New Roman"/>
                <w:sz w:val="24"/>
                <w:szCs w:val="24"/>
              </w:rPr>
              <w:t>Производитель (официальный дилер, дистрибьютор).</w:t>
            </w:r>
          </w:p>
        </w:tc>
      </w:tr>
      <w:tr w:rsidR="00BC4684" w:rsidRPr="008D5F0F" w14:paraId="5CC6C3E6" w14:textId="77777777" w:rsidTr="001A60FE">
        <w:trPr>
          <w:jc w:val="center"/>
        </w:trPr>
        <w:tc>
          <w:tcPr>
            <w:tcW w:w="2440" w:type="dxa"/>
          </w:tcPr>
          <w:p w14:paraId="09419056" w14:textId="3FCC0EF1" w:rsidR="00BC4684" w:rsidRPr="008D5F0F" w:rsidRDefault="00BC4684" w:rsidP="00BC46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2D92">
              <w:rPr>
                <w:rFonts w:ascii="Times New Roman" w:eastAsia="Calibri" w:hAnsi="Times New Roman" w:cs="Times New Roman"/>
                <w:sz w:val="24"/>
                <w:szCs w:val="24"/>
              </w:rPr>
              <w:t>Размер лизинговой ставки, % годовых</w:t>
            </w:r>
          </w:p>
        </w:tc>
        <w:tc>
          <w:tcPr>
            <w:tcW w:w="10018" w:type="dxa"/>
            <w:gridSpan w:val="4"/>
            <w:vAlign w:val="center"/>
          </w:tcPr>
          <w:p w14:paraId="334AEF30" w14:textId="0364367A" w:rsidR="00BC4684" w:rsidRPr="008D5F0F" w:rsidRDefault="00BC4684" w:rsidP="00BC46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2D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Ставка рефинансирования Национального банка Республики Беларусь* увеличенная на </w:t>
            </w:r>
            <w:proofErr w:type="gramStart"/>
            <w:r w:rsidRPr="006D2D92">
              <w:rPr>
                <w:rFonts w:ascii="Times New Roman" w:eastAsia="Calibri" w:hAnsi="Times New Roman" w:cs="Times New Roman"/>
                <w:sz w:val="24"/>
                <w:szCs w:val="24"/>
              </w:rPr>
              <w:t>1.п.п.</w:t>
            </w:r>
            <w:proofErr w:type="gramEnd"/>
          </w:p>
        </w:tc>
      </w:tr>
      <w:tr w:rsidR="00BC4684" w:rsidRPr="008D5F0F" w14:paraId="46C25EFC" w14:textId="77777777" w:rsidTr="00EA06D8">
        <w:trPr>
          <w:jc w:val="center"/>
        </w:trPr>
        <w:tc>
          <w:tcPr>
            <w:tcW w:w="2440" w:type="dxa"/>
          </w:tcPr>
          <w:p w14:paraId="72AB8BBA" w14:textId="77777777" w:rsidR="00BC4684" w:rsidRPr="008D5F0F" w:rsidRDefault="00BC4684" w:rsidP="00BC46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F0F">
              <w:rPr>
                <w:rFonts w:ascii="Times New Roman" w:eastAsia="Calibri" w:hAnsi="Times New Roman" w:cs="Times New Roman"/>
                <w:sz w:val="24"/>
                <w:szCs w:val="24"/>
              </w:rPr>
              <w:t>Срок финансирования</w:t>
            </w:r>
          </w:p>
        </w:tc>
        <w:tc>
          <w:tcPr>
            <w:tcW w:w="10018" w:type="dxa"/>
            <w:gridSpan w:val="4"/>
          </w:tcPr>
          <w:p w14:paraId="6CBA6BB1" w14:textId="77777777" w:rsidR="00BC4684" w:rsidRPr="008D5F0F" w:rsidRDefault="00BC4684" w:rsidP="00BC46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F0F">
              <w:rPr>
                <w:rFonts w:ascii="Times New Roman" w:eastAsia="Calibri" w:hAnsi="Times New Roman" w:cs="Times New Roman"/>
                <w:sz w:val="24"/>
                <w:szCs w:val="24"/>
              </w:rPr>
              <w:t>До 5 лет</w:t>
            </w:r>
          </w:p>
        </w:tc>
      </w:tr>
      <w:tr w:rsidR="00BC4684" w:rsidRPr="008D5F0F" w14:paraId="717D0B3E" w14:textId="77777777" w:rsidTr="00EA06D8">
        <w:trPr>
          <w:jc w:val="center"/>
        </w:trPr>
        <w:tc>
          <w:tcPr>
            <w:tcW w:w="2440" w:type="dxa"/>
          </w:tcPr>
          <w:p w14:paraId="7A824058" w14:textId="6F2069E9" w:rsidR="00BC4684" w:rsidRPr="008D5F0F" w:rsidRDefault="00BC4684" w:rsidP="00BC46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F0F">
              <w:rPr>
                <w:rFonts w:ascii="Times New Roman" w:eastAsia="Calibri" w:hAnsi="Times New Roman" w:cs="Times New Roman"/>
                <w:sz w:val="24"/>
                <w:szCs w:val="24"/>
              </w:rPr>
              <w:t>Валюта финансирования</w:t>
            </w:r>
          </w:p>
        </w:tc>
        <w:tc>
          <w:tcPr>
            <w:tcW w:w="10018" w:type="dxa"/>
            <w:gridSpan w:val="4"/>
          </w:tcPr>
          <w:p w14:paraId="71EB788F" w14:textId="0F16C825" w:rsidR="00BC4684" w:rsidRPr="008D5F0F" w:rsidRDefault="00BC4684" w:rsidP="00BC46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Белорусские рубли</w:t>
            </w:r>
          </w:p>
        </w:tc>
      </w:tr>
      <w:tr w:rsidR="00BC4684" w:rsidRPr="008D5F0F" w14:paraId="0C618BAE" w14:textId="77777777" w:rsidTr="00EA06D8">
        <w:trPr>
          <w:jc w:val="center"/>
        </w:trPr>
        <w:tc>
          <w:tcPr>
            <w:tcW w:w="2440" w:type="dxa"/>
          </w:tcPr>
          <w:p w14:paraId="63D6E2E9" w14:textId="590D63CF" w:rsidR="00BC4684" w:rsidRPr="008D5F0F" w:rsidRDefault="00BC4684" w:rsidP="00BC46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F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Сумма финансирования Субъекта МСП         </w:t>
            </w:r>
          </w:p>
        </w:tc>
        <w:tc>
          <w:tcPr>
            <w:tcW w:w="10018" w:type="dxa"/>
            <w:gridSpan w:val="4"/>
          </w:tcPr>
          <w:p w14:paraId="3B3F7468" w14:textId="77777777" w:rsidR="00BC4684" w:rsidRPr="008D5F0F" w:rsidRDefault="00BC4684" w:rsidP="00BC46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098F">
              <w:rPr>
                <w:rFonts w:ascii="Times New Roman" w:eastAsia="Calibri" w:hAnsi="Times New Roman" w:cs="Times New Roman"/>
                <w:sz w:val="24"/>
                <w:szCs w:val="24"/>
              </w:rPr>
              <w:t>Не более 5 млн. белорусских рублей</w:t>
            </w:r>
          </w:p>
        </w:tc>
      </w:tr>
      <w:tr w:rsidR="00BC4684" w:rsidRPr="008D5F0F" w14:paraId="79F34E67" w14:textId="77777777" w:rsidTr="003B3492">
        <w:trPr>
          <w:jc w:val="center"/>
        </w:trPr>
        <w:tc>
          <w:tcPr>
            <w:tcW w:w="2440" w:type="dxa"/>
          </w:tcPr>
          <w:p w14:paraId="465F6731" w14:textId="053232E2" w:rsidR="00BC4684" w:rsidRPr="008D5F0F" w:rsidRDefault="00BC4684" w:rsidP="00BC46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3BB">
              <w:rPr>
                <w:rFonts w:ascii="Times New Roman" w:eastAsia="Calibri" w:hAnsi="Times New Roman" w:cs="Times New Roman"/>
                <w:sz w:val="24"/>
                <w:szCs w:val="24"/>
              </w:rPr>
              <w:t>Авансовый платеж</w:t>
            </w:r>
          </w:p>
        </w:tc>
        <w:tc>
          <w:tcPr>
            <w:tcW w:w="10018" w:type="dxa"/>
            <w:gridSpan w:val="4"/>
            <w:vAlign w:val="center"/>
          </w:tcPr>
          <w:p w14:paraId="55069E4A" w14:textId="71D6AA57" w:rsidR="00BC4684" w:rsidRDefault="00BC4684" w:rsidP="00BC46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3BB">
              <w:rPr>
                <w:rFonts w:ascii="Times New Roman" w:eastAsia="Calibri" w:hAnsi="Times New Roman" w:cs="Times New Roman"/>
                <w:sz w:val="24"/>
                <w:szCs w:val="24"/>
              </w:rPr>
              <w:t>От 20% до 40% стоимости предмета лизинга с учетом НДС.</w:t>
            </w:r>
          </w:p>
        </w:tc>
      </w:tr>
      <w:tr w:rsidR="00BC4684" w:rsidRPr="008D5F0F" w14:paraId="010667DE" w14:textId="77777777" w:rsidTr="005B2C80">
        <w:trPr>
          <w:jc w:val="center"/>
        </w:trPr>
        <w:tc>
          <w:tcPr>
            <w:tcW w:w="2440" w:type="dxa"/>
          </w:tcPr>
          <w:p w14:paraId="0C158E95" w14:textId="58CE2655" w:rsidR="00BC4684" w:rsidRPr="008D5F0F" w:rsidRDefault="00BC4684" w:rsidP="00BC46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3BB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</w:t>
            </w:r>
          </w:p>
        </w:tc>
        <w:tc>
          <w:tcPr>
            <w:tcW w:w="10018" w:type="dxa"/>
            <w:gridSpan w:val="4"/>
            <w:vAlign w:val="center"/>
          </w:tcPr>
          <w:p w14:paraId="320B92AB" w14:textId="77A16C6F" w:rsidR="00BC4684" w:rsidRDefault="00BC4684" w:rsidP="00BC46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3BB">
              <w:rPr>
                <w:rFonts w:ascii="Times New Roman" w:eastAsia="Calibri" w:hAnsi="Times New Roman" w:cs="Times New Roman"/>
                <w:sz w:val="24"/>
                <w:szCs w:val="24"/>
              </w:rPr>
              <w:t>Возможно, при необходимости: залог ликвидного имущества (не менее 30% стоимости предмета лизинга с учетом НДС), задаток, поручительство, другое высоколиквидное обеспечение.</w:t>
            </w:r>
          </w:p>
        </w:tc>
      </w:tr>
      <w:tr w:rsidR="00BC4684" w:rsidRPr="008D5F0F" w14:paraId="091078FF" w14:textId="77777777" w:rsidTr="00F56869">
        <w:trPr>
          <w:jc w:val="center"/>
        </w:trPr>
        <w:tc>
          <w:tcPr>
            <w:tcW w:w="2440" w:type="dxa"/>
            <w:vAlign w:val="center"/>
          </w:tcPr>
          <w:p w14:paraId="695E8EE7" w14:textId="4548B1D4" w:rsidR="00BC4684" w:rsidRPr="008D5F0F" w:rsidRDefault="00BC4684" w:rsidP="00BC46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3BB">
              <w:rPr>
                <w:rFonts w:ascii="Times New Roman" w:eastAsia="Calibri" w:hAnsi="Times New Roman" w:cs="Times New Roman"/>
                <w:sz w:val="24"/>
                <w:szCs w:val="24"/>
              </w:rPr>
              <w:t>Возмещение стоимости предмета лизинга</w:t>
            </w:r>
          </w:p>
        </w:tc>
        <w:tc>
          <w:tcPr>
            <w:tcW w:w="10018" w:type="dxa"/>
            <w:gridSpan w:val="4"/>
            <w:vAlign w:val="center"/>
          </w:tcPr>
          <w:p w14:paraId="6B9D353E" w14:textId="10DAF5AC" w:rsidR="00BC4684" w:rsidRDefault="00BC4684" w:rsidP="00BC46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3BB">
              <w:rPr>
                <w:rFonts w:ascii="Times New Roman" w:eastAsia="Calibri" w:hAnsi="Times New Roman" w:cs="Times New Roman"/>
                <w:sz w:val="24"/>
                <w:szCs w:val="24"/>
              </w:rPr>
              <w:t>Ежемесячно равными долями. Базой для расчета лизингового платежа является непогашенная сумма контрактной стоимости предмета лизинга с учетом НДС.</w:t>
            </w:r>
          </w:p>
        </w:tc>
      </w:tr>
      <w:tr w:rsidR="00BC4684" w:rsidRPr="008D5F0F" w14:paraId="6D7968F5" w14:textId="77777777" w:rsidTr="00660830">
        <w:trPr>
          <w:jc w:val="center"/>
        </w:trPr>
        <w:tc>
          <w:tcPr>
            <w:tcW w:w="2440" w:type="dxa"/>
            <w:vAlign w:val="center"/>
          </w:tcPr>
          <w:p w14:paraId="08B75D70" w14:textId="3A9D7477" w:rsidR="00BC4684" w:rsidRPr="008D5F0F" w:rsidRDefault="00BC4684" w:rsidP="00BC46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3BB">
              <w:rPr>
                <w:rFonts w:ascii="Times New Roman" w:eastAsia="Calibri" w:hAnsi="Times New Roman" w:cs="Times New Roman"/>
                <w:sz w:val="24"/>
                <w:szCs w:val="24"/>
              </w:rPr>
              <w:t>Выкупная стоимость</w:t>
            </w:r>
          </w:p>
        </w:tc>
        <w:tc>
          <w:tcPr>
            <w:tcW w:w="10018" w:type="dxa"/>
            <w:gridSpan w:val="4"/>
            <w:vAlign w:val="center"/>
          </w:tcPr>
          <w:p w14:paraId="7D883580" w14:textId="4589D791" w:rsidR="00BC4684" w:rsidRDefault="00BC4684" w:rsidP="00BC46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3BB">
              <w:rPr>
                <w:rFonts w:ascii="Times New Roman" w:eastAsia="Calibri" w:hAnsi="Times New Roman" w:cs="Times New Roman"/>
                <w:sz w:val="24"/>
                <w:szCs w:val="24"/>
              </w:rPr>
              <w:t>1% стоимости предмета лизинга с учетом НДС.</w:t>
            </w:r>
          </w:p>
        </w:tc>
      </w:tr>
      <w:tr w:rsidR="006D2D92" w:rsidRPr="008D5F0F" w14:paraId="571E302F" w14:textId="77777777" w:rsidTr="00EA06D8">
        <w:trPr>
          <w:jc w:val="center"/>
        </w:trPr>
        <w:tc>
          <w:tcPr>
            <w:tcW w:w="2440" w:type="dxa"/>
            <w:vMerge w:val="restart"/>
          </w:tcPr>
          <w:p w14:paraId="759AC1C4" w14:textId="50900F68" w:rsidR="006D2D92" w:rsidRPr="008D5F0F" w:rsidRDefault="006D2D92" w:rsidP="00BC46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F0F">
              <w:rPr>
                <w:rFonts w:ascii="Times New Roman" w:eastAsia="Calibri" w:hAnsi="Times New Roman" w:cs="Times New Roman"/>
                <w:sz w:val="24"/>
                <w:szCs w:val="24"/>
              </w:rPr>
              <w:t>Дополнительн</w:t>
            </w:r>
            <w:r w:rsidR="00E35CED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8D5F0F">
              <w:rPr>
                <w:rFonts w:ascii="Times New Roman" w:eastAsia="Calibri" w:hAnsi="Times New Roman" w:cs="Times New Roman"/>
                <w:sz w:val="24"/>
                <w:szCs w:val="24"/>
              </w:rPr>
              <w:t>е услови</w:t>
            </w:r>
            <w:r w:rsidR="00E35CED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0018" w:type="dxa"/>
            <w:gridSpan w:val="4"/>
          </w:tcPr>
          <w:p w14:paraId="343E06FA" w14:textId="77777777" w:rsidR="006D2D92" w:rsidRPr="00BC4684" w:rsidRDefault="006D2D92" w:rsidP="00BC46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настоящего продукта запрещается финансирование проектов следующих видов деятельности: </w:t>
            </w:r>
          </w:p>
          <w:p w14:paraId="4A9E80C2" w14:textId="77777777" w:rsidR="006D2D92" w:rsidRPr="00BC4684" w:rsidRDefault="006D2D92" w:rsidP="00BC46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 не относящихся к целевому сегменту субъектов МСП; </w:t>
            </w:r>
          </w:p>
          <w:p w14:paraId="3DBE6772" w14:textId="77777777" w:rsidR="006D2D92" w:rsidRPr="00BC4684" w:rsidRDefault="006D2D92" w:rsidP="00BC46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 производство оружия и (или) военного снаряжения;</w:t>
            </w:r>
          </w:p>
          <w:p w14:paraId="4C935981" w14:textId="77777777" w:rsidR="006D2D92" w:rsidRPr="00BC4684" w:rsidRDefault="006D2D92" w:rsidP="00BC46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 производство и экспорт табачных изделий;</w:t>
            </w:r>
          </w:p>
          <w:p w14:paraId="4BDD8294" w14:textId="77777777" w:rsidR="006D2D92" w:rsidRPr="00BC4684" w:rsidRDefault="006D2D92" w:rsidP="00BC46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 производство алкогольных напитков (за исключением производства пива, сидра, вина и солода);</w:t>
            </w:r>
          </w:p>
          <w:p w14:paraId="0BE74401" w14:textId="77777777" w:rsidR="006D2D92" w:rsidRPr="00BC4684" w:rsidRDefault="006D2D92" w:rsidP="00BC46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 сфера игорного бизнеса, лотерейной деятельности, электронных интерактивных игр.</w:t>
            </w:r>
          </w:p>
          <w:p w14:paraId="704A29F7" w14:textId="77777777" w:rsidR="006D2D92" w:rsidRDefault="006D2D92" w:rsidP="00BC46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CA89B62" w14:textId="6838CDCE" w:rsidR="006D2D92" w:rsidRPr="00B41F79" w:rsidRDefault="006D2D92" w:rsidP="00BC46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настоящего</w:t>
            </w:r>
            <w:r w:rsidRPr="00B41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продукта не финансируется: </w:t>
            </w:r>
          </w:p>
          <w:p w14:paraId="2B5DC81C" w14:textId="77777777" w:rsidR="006D2D92" w:rsidRPr="00B41F79" w:rsidRDefault="006D2D92" w:rsidP="00BC4684">
            <w:pPr>
              <w:tabs>
                <w:tab w:val="left" w:pos="2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B41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</w:t>
            </w:r>
            <w:r w:rsidRPr="00B41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всех типов жилых домов: одноквартирных и блокированных домов, многоквартирных домов, в т.ч. многоэтажных и квартир;</w:t>
            </w:r>
          </w:p>
          <w:p w14:paraId="47D294EA" w14:textId="77777777" w:rsidR="006D2D92" w:rsidRPr="00B41F79" w:rsidRDefault="006D2D92" w:rsidP="00BC4684">
            <w:pPr>
              <w:tabs>
                <w:tab w:val="left" w:pos="2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B41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254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риобретение</w:t>
            </w:r>
            <w:r w:rsidRPr="00B41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легковых автомобиле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й;</w:t>
            </w:r>
            <w:r w:rsidRPr="00B41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4A7BE6E" w14:textId="77777777" w:rsidR="006D2D92" w:rsidRDefault="006D2D92" w:rsidP="00BC4684">
            <w:pPr>
              <w:tabs>
                <w:tab w:val="left" w:pos="2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B41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254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риобретение</w:t>
            </w:r>
            <w:r w:rsidRPr="00B41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имущества, непосредственно не связанного с производственной деятельностью/деятельностью по оказани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B41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34C396C" w14:textId="228A7EDC" w:rsidR="006D2D92" w:rsidRPr="00BC4684" w:rsidRDefault="006D2D92" w:rsidP="00BC468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Лизинговая организация обязана досрочно осуществить выкуп облигаций в количестве, проданных Банку развития облигаций для финансирования </w:t>
            </w:r>
            <w:proofErr w:type="spellStart"/>
            <w:r w:rsidRPr="00BC4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Субпроекта</w:t>
            </w:r>
            <w:proofErr w:type="spellEnd"/>
            <w:r w:rsidRPr="00BC4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(за вычетом ранее выкупленных облигаций в рамках данного </w:t>
            </w:r>
            <w:proofErr w:type="spellStart"/>
            <w:r w:rsidRPr="00BC4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Субпроекта</w:t>
            </w:r>
            <w:proofErr w:type="spellEnd"/>
            <w:r w:rsidRPr="00BC4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при возникновении следующих случаев:</w:t>
            </w:r>
          </w:p>
          <w:p w14:paraId="3E439DB4" w14:textId="77777777" w:rsidR="006D2D92" w:rsidRPr="00BC4684" w:rsidRDefault="006D2D92" w:rsidP="00BC4684">
            <w:pPr>
              <w:tabs>
                <w:tab w:val="left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нецелевого использования средств Субъектом МСП; </w:t>
            </w:r>
          </w:p>
          <w:p w14:paraId="4D086BD9" w14:textId="4305E871" w:rsidR="006D2D92" w:rsidRPr="00BC4684" w:rsidRDefault="006D2D92" w:rsidP="00BC46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прекращения Субъектом МСП деятельности, профинансированной за счет средств Банка развития.</w:t>
            </w:r>
          </w:p>
        </w:tc>
      </w:tr>
      <w:tr w:rsidR="006D2D92" w:rsidRPr="008D5F0F" w14:paraId="7CAAD7D9" w14:textId="77777777" w:rsidTr="00EA06D8">
        <w:trPr>
          <w:jc w:val="center"/>
        </w:trPr>
        <w:tc>
          <w:tcPr>
            <w:tcW w:w="2440" w:type="dxa"/>
            <w:vMerge/>
          </w:tcPr>
          <w:p w14:paraId="559310C6" w14:textId="77777777" w:rsidR="006D2D92" w:rsidRPr="008D5F0F" w:rsidRDefault="006D2D92" w:rsidP="00BC468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18" w:type="dxa"/>
            <w:gridSpan w:val="4"/>
          </w:tcPr>
          <w:p w14:paraId="41279339" w14:textId="77777777" w:rsidR="006D2D92" w:rsidRPr="00D063BB" w:rsidRDefault="006D2D92" w:rsidP="00BC468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3BB">
              <w:rPr>
                <w:rFonts w:ascii="Times New Roman" w:eastAsia="Calibri" w:hAnsi="Times New Roman" w:cs="Times New Roman"/>
                <w:sz w:val="24"/>
                <w:szCs w:val="24"/>
              </w:rPr>
              <w:t>Стабильное финансовое состояние потенциального лизингополучателя.</w:t>
            </w:r>
          </w:p>
          <w:p w14:paraId="05F755FF" w14:textId="2647C10F" w:rsidR="006D2D92" w:rsidRPr="00B41F79" w:rsidRDefault="006D2D92" w:rsidP="00BC4684">
            <w:pPr>
              <w:tabs>
                <w:tab w:val="left" w:pos="113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63BB">
              <w:rPr>
                <w:rFonts w:ascii="Times New Roman" w:eastAsia="Calibri" w:hAnsi="Times New Roman" w:cs="Times New Roman"/>
                <w:sz w:val="24"/>
                <w:szCs w:val="24"/>
              </w:rPr>
              <w:t>Наличие реальных источников погашения лизинговых платежей.</w:t>
            </w:r>
          </w:p>
        </w:tc>
      </w:tr>
    </w:tbl>
    <w:p w14:paraId="3BF3779A" w14:textId="77777777" w:rsidR="008E13EF" w:rsidRDefault="008E13EF" w:rsidP="0034173C">
      <w:pPr>
        <w:widowControl w:val="0"/>
        <w:tabs>
          <w:tab w:val="left" w:pos="195"/>
          <w:tab w:val="center" w:pos="4677"/>
        </w:tabs>
        <w:autoSpaceDE w:val="0"/>
        <w:autoSpaceDN w:val="0"/>
        <w:adjustRightInd w:val="0"/>
        <w:spacing w:after="0" w:line="240" w:lineRule="auto"/>
        <w:ind w:left="10632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14:paraId="4060E505" w14:textId="77777777" w:rsidR="006D2D92" w:rsidRPr="006D2D92" w:rsidRDefault="006D2D92" w:rsidP="006D2D9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D92">
        <w:rPr>
          <w:rFonts w:ascii="Times New Roman" w:eastAsia="Times New Roman" w:hAnsi="Times New Roman" w:cs="Times New Roman"/>
          <w:sz w:val="24"/>
          <w:szCs w:val="24"/>
          <w:lang w:eastAsia="ru-RU"/>
        </w:rPr>
        <w:t>* Ставка рефинансирования Национального банка Республики Беларусь – переменная величина, устанавливается Постановлением Правления Национального банка Республики Беларусь.</w:t>
      </w:r>
    </w:p>
    <w:p w14:paraId="603EDAB0" w14:textId="77777777" w:rsidR="006D2D92" w:rsidRPr="00A1215E" w:rsidRDefault="006D2D92" w:rsidP="006D2D92"/>
    <w:p w14:paraId="626E668C" w14:textId="77777777" w:rsidR="006D2D92" w:rsidRPr="008D5F0F" w:rsidRDefault="006D2D92" w:rsidP="0034173C">
      <w:pPr>
        <w:widowControl w:val="0"/>
        <w:tabs>
          <w:tab w:val="left" w:pos="195"/>
          <w:tab w:val="center" w:pos="4677"/>
        </w:tabs>
        <w:autoSpaceDE w:val="0"/>
        <w:autoSpaceDN w:val="0"/>
        <w:adjustRightInd w:val="0"/>
        <w:spacing w:after="0" w:line="240" w:lineRule="auto"/>
        <w:ind w:left="10632"/>
        <w:jc w:val="right"/>
        <w:rPr>
          <w:rFonts w:ascii="Times New Roman" w:eastAsia="Calibri" w:hAnsi="Times New Roman" w:cs="Times New Roman"/>
          <w:sz w:val="26"/>
          <w:szCs w:val="26"/>
        </w:rPr>
      </w:pPr>
    </w:p>
    <w:sectPr w:rsidR="006D2D92" w:rsidRPr="008D5F0F" w:rsidSect="00491A55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2F1736" w14:textId="77777777" w:rsidR="00311D22" w:rsidRDefault="00311D22" w:rsidP="002D04AE">
      <w:pPr>
        <w:spacing w:after="0" w:line="240" w:lineRule="auto"/>
      </w:pPr>
      <w:r>
        <w:separator/>
      </w:r>
    </w:p>
  </w:endnote>
  <w:endnote w:type="continuationSeparator" w:id="0">
    <w:p w14:paraId="5D1A2C25" w14:textId="77777777" w:rsidR="00311D22" w:rsidRDefault="00311D22" w:rsidP="002D0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DD21F2" w14:textId="77777777" w:rsidR="00311D22" w:rsidRDefault="00311D22" w:rsidP="002D04AE">
      <w:pPr>
        <w:spacing w:after="0" w:line="240" w:lineRule="auto"/>
      </w:pPr>
      <w:r>
        <w:separator/>
      </w:r>
    </w:p>
  </w:footnote>
  <w:footnote w:type="continuationSeparator" w:id="0">
    <w:p w14:paraId="37B7E857" w14:textId="77777777" w:rsidR="00311D22" w:rsidRDefault="00311D22" w:rsidP="002D04AE">
      <w:pPr>
        <w:spacing w:after="0" w:line="240" w:lineRule="auto"/>
      </w:pPr>
      <w:r>
        <w:continuationSeparator/>
      </w:r>
    </w:p>
  </w:footnote>
  <w:footnote w:id="1">
    <w:p w14:paraId="247B0FBF" w14:textId="77777777" w:rsidR="00EA06D8" w:rsidRPr="00A62E6D" w:rsidRDefault="00EA06D8" w:rsidP="001A5D0B">
      <w:pPr>
        <w:pStyle w:val="af0"/>
        <w:rPr>
          <w:sz w:val="18"/>
          <w:szCs w:val="18"/>
        </w:rPr>
      </w:pPr>
      <w:r w:rsidRPr="00A62E6D">
        <w:rPr>
          <w:rStyle w:val="af2"/>
          <w:sz w:val="18"/>
          <w:szCs w:val="18"/>
        </w:rPr>
        <w:footnoteRef/>
      </w:r>
      <w:r w:rsidRPr="00A62E6D">
        <w:rPr>
          <w:sz w:val="18"/>
          <w:szCs w:val="18"/>
        </w:rPr>
        <w:t>Под имуществом понимаются основные средства</w:t>
      </w:r>
    </w:p>
  </w:footnote>
  <w:footnote w:id="2">
    <w:p w14:paraId="2017D11B" w14:textId="77777777" w:rsidR="00EA06D8" w:rsidRPr="00B16219" w:rsidRDefault="00EA06D8" w:rsidP="001A5D0B">
      <w:pPr>
        <w:pStyle w:val="af0"/>
        <w:rPr>
          <w:sz w:val="18"/>
          <w:szCs w:val="18"/>
        </w:rPr>
      </w:pPr>
      <w:r>
        <w:rPr>
          <w:rStyle w:val="af2"/>
        </w:rPr>
        <w:footnoteRef/>
      </w:r>
      <w:r>
        <w:t xml:space="preserve"> </w:t>
      </w:r>
      <w:r w:rsidRPr="00A62E6D">
        <w:rPr>
          <w:sz w:val="18"/>
          <w:szCs w:val="18"/>
        </w:rPr>
        <w:t>ОКЭД – Общегосударственный классификатор Республики Беларусь «Виды экономической деятельности»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3752F"/>
    <w:multiLevelType w:val="hybridMultilevel"/>
    <w:tmpl w:val="565A4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10668"/>
    <w:multiLevelType w:val="hybridMultilevel"/>
    <w:tmpl w:val="DAF69BEE"/>
    <w:lvl w:ilvl="0" w:tplc="3BE2D7B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CA160B"/>
    <w:multiLevelType w:val="hybridMultilevel"/>
    <w:tmpl w:val="479EC7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791135F"/>
    <w:multiLevelType w:val="hybridMultilevel"/>
    <w:tmpl w:val="86DAE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0E168E"/>
    <w:multiLevelType w:val="hybridMultilevel"/>
    <w:tmpl w:val="D5FA80F4"/>
    <w:lvl w:ilvl="0" w:tplc="3BE2D7B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6C206F"/>
    <w:multiLevelType w:val="hybridMultilevel"/>
    <w:tmpl w:val="EEF6F5CE"/>
    <w:lvl w:ilvl="0" w:tplc="3BE2D7B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D06FA7"/>
    <w:multiLevelType w:val="hybridMultilevel"/>
    <w:tmpl w:val="E702D1FC"/>
    <w:lvl w:ilvl="0" w:tplc="3BE2D7B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F245D"/>
    <w:multiLevelType w:val="hybridMultilevel"/>
    <w:tmpl w:val="702E0940"/>
    <w:lvl w:ilvl="0" w:tplc="3BE2D7B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0567A9"/>
    <w:multiLevelType w:val="hybridMultilevel"/>
    <w:tmpl w:val="208AC7C0"/>
    <w:lvl w:ilvl="0" w:tplc="3BE2D7B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DD0587"/>
    <w:multiLevelType w:val="hybridMultilevel"/>
    <w:tmpl w:val="53EAA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220C80"/>
    <w:multiLevelType w:val="hybridMultilevel"/>
    <w:tmpl w:val="59824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E97F35"/>
    <w:multiLevelType w:val="hybridMultilevel"/>
    <w:tmpl w:val="C6589BBA"/>
    <w:lvl w:ilvl="0" w:tplc="3BE2D7B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54666A"/>
    <w:multiLevelType w:val="hybridMultilevel"/>
    <w:tmpl w:val="9CFE51BE"/>
    <w:lvl w:ilvl="0" w:tplc="3BE2D7B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962992">
    <w:abstractNumId w:val="5"/>
  </w:num>
  <w:num w:numId="2" w16cid:durableId="620527375">
    <w:abstractNumId w:val="2"/>
  </w:num>
  <w:num w:numId="3" w16cid:durableId="1748267044">
    <w:abstractNumId w:val="3"/>
  </w:num>
  <w:num w:numId="4" w16cid:durableId="733282575">
    <w:abstractNumId w:val="12"/>
  </w:num>
  <w:num w:numId="5" w16cid:durableId="1653829621">
    <w:abstractNumId w:val="11"/>
  </w:num>
  <w:num w:numId="6" w16cid:durableId="69422898">
    <w:abstractNumId w:val="7"/>
  </w:num>
  <w:num w:numId="7" w16cid:durableId="1486505927">
    <w:abstractNumId w:val="6"/>
  </w:num>
  <w:num w:numId="8" w16cid:durableId="1001355879">
    <w:abstractNumId w:val="8"/>
  </w:num>
  <w:num w:numId="9" w16cid:durableId="1540244115">
    <w:abstractNumId w:val="1"/>
  </w:num>
  <w:num w:numId="10" w16cid:durableId="1448769080">
    <w:abstractNumId w:val="0"/>
  </w:num>
  <w:num w:numId="11" w16cid:durableId="562257478">
    <w:abstractNumId w:val="4"/>
  </w:num>
  <w:num w:numId="12" w16cid:durableId="681278306">
    <w:abstractNumId w:val="10"/>
  </w:num>
  <w:num w:numId="13" w16cid:durableId="1247883818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nds" w:val="18"/>
    <w:docVar w:name="ndsvid" w:val="0"/>
  </w:docVars>
  <w:rsids>
    <w:rsidRoot w:val="004803E9"/>
    <w:rsid w:val="00001975"/>
    <w:rsid w:val="00001A3D"/>
    <w:rsid w:val="00012721"/>
    <w:rsid w:val="0001328C"/>
    <w:rsid w:val="000212CA"/>
    <w:rsid w:val="0002288E"/>
    <w:rsid w:val="00027D47"/>
    <w:rsid w:val="0003457F"/>
    <w:rsid w:val="0004474A"/>
    <w:rsid w:val="000453E8"/>
    <w:rsid w:val="000508CD"/>
    <w:rsid w:val="0005368D"/>
    <w:rsid w:val="00064329"/>
    <w:rsid w:val="000650A6"/>
    <w:rsid w:val="00066CBB"/>
    <w:rsid w:val="000913CB"/>
    <w:rsid w:val="00093F4B"/>
    <w:rsid w:val="000A4E73"/>
    <w:rsid w:val="000C1BCF"/>
    <w:rsid w:val="000C57B4"/>
    <w:rsid w:val="000D4AD2"/>
    <w:rsid w:val="000E758E"/>
    <w:rsid w:val="000F2D1F"/>
    <w:rsid w:val="000F3EC7"/>
    <w:rsid w:val="001006EA"/>
    <w:rsid w:val="001128CD"/>
    <w:rsid w:val="00123180"/>
    <w:rsid w:val="00126230"/>
    <w:rsid w:val="001323BB"/>
    <w:rsid w:val="00135EEC"/>
    <w:rsid w:val="00137127"/>
    <w:rsid w:val="001477A5"/>
    <w:rsid w:val="001527A3"/>
    <w:rsid w:val="00154A99"/>
    <w:rsid w:val="001657DC"/>
    <w:rsid w:val="00166911"/>
    <w:rsid w:val="00171832"/>
    <w:rsid w:val="00176C2C"/>
    <w:rsid w:val="0017781B"/>
    <w:rsid w:val="0018147C"/>
    <w:rsid w:val="001833CF"/>
    <w:rsid w:val="00191DBC"/>
    <w:rsid w:val="00195C40"/>
    <w:rsid w:val="00196D15"/>
    <w:rsid w:val="001A5D0B"/>
    <w:rsid w:val="001A637D"/>
    <w:rsid w:val="001B3910"/>
    <w:rsid w:val="001B544E"/>
    <w:rsid w:val="001D04E2"/>
    <w:rsid w:val="001D0E04"/>
    <w:rsid w:val="001D6710"/>
    <w:rsid w:val="001E586D"/>
    <w:rsid w:val="001F0668"/>
    <w:rsid w:val="00207200"/>
    <w:rsid w:val="00213080"/>
    <w:rsid w:val="002156A3"/>
    <w:rsid w:val="00226CBF"/>
    <w:rsid w:val="00230A56"/>
    <w:rsid w:val="00232CEA"/>
    <w:rsid w:val="00240656"/>
    <w:rsid w:val="00241966"/>
    <w:rsid w:val="00241E32"/>
    <w:rsid w:val="00241EA9"/>
    <w:rsid w:val="00245C29"/>
    <w:rsid w:val="002505F3"/>
    <w:rsid w:val="0025424A"/>
    <w:rsid w:val="00260E07"/>
    <w:rsid w:val="00261DDF"/>
    <w:rsid w:val="00267922"/>
    <w:rsid w:val="002809E5"/>
    <w:rsid w:val="00290E28"/>
    <w:rsid w:val="0029210D"/>
    <w:rsid w:val="002A506A"/>
    <w:rsid w:val="002B78FF"/>
    <w:rsid w:val="002C3C09"/>
    <w:rsid w:val="002C4E0C"/>
    <w:rsid w:val="002C516A"/>
    <w:rsid w:val="002D04AE"/>
    <w:rsid w:val="002D2134"/>
    <w:rsid w:val="002D27B4"/>
    <w:rsid w:val="002D4310"/>
    <w:rsid w:val="002D60F2"/>
    <w:rsid w:val="002E24E2"/>
    <w:rsid w:val="002F0B7E"/>
    <w:rsid w:val="002F2142"/>
    <w:rsid w:val="002F6DF0"/>
    <w:rsid w:val="00311D22"/>
    <w:rsid w:val="00314AE1"/>
    <w:rsid w:val="00323EBB"/>
    <w:rsid w:val="00327154"/>
    <w:rsid w:val="00331776"/>
    <w:rsid w:val="003402A2"/>
    <w:rsid w:val="0034173C"/>
    <w:rsid w:val="00343C89"/>
    <w:rsid w:val="00344576"/>
    <w:rsid w:val="00356629"/>
    <w:rsid w:val="0036100D"/>
    <w:rsid w:val="00362321"/>
    <w:rsid w:val="00365DEF"/>
    <w:rsid w:val="00383E90"/>
    <w:rsid w:val="00385C16"/>
    <w:rsid w:val="003A0629"/>
    <w:rsid w:val="003A1E6C"/>
    <w:rsid w:val="003A428A"/>
    <w:rsid w:val="003A6685"/>
    <w:rsid w:val="003B09B4"/>
    <w:rsid w:val="003B1D80"/>
    <w:rsid w:val="003C33AA"/>
    <w:rsid w:val="003C341C"/>
    <w:rsid w:val="003D2A9D"/>
    <w:rsid w:val="003D402E"/>
    <w:rsid w:val="003E7883"/>
    <w:rsid w:val="003E7C34"/>
    <w:rsid w:val="003F2E4E"/>
    <w:rsid w:val="003F7A06"/>
    <w:rsid w:val="00403B6E"/>
    <w:rsid w:val="00416A0F"/>
    <w:rsid w:val="00433777"/>
    <w:rsid w:val="00435765"/>
    <w:rsid w:val="00445B5F"/>
    <w:rsid w:val="004470A8"/>
    <w:rsid w:val="00454304"/>
    <w:rsid w:val="00460D34"/>
    <w:rsid w:val="00471810"/>
    <w:rsid w:val="00471F6D"/>
    <w:rsid w:val="00471FC4"/>
    <w:rsid w:val="00475F4E"/>
    <w:rsid w:val="004803E9"/>
    <w:rsid w:val="00491A55"/>
    <w:rsid w:val="004924FF"/>
    <w:rsid w:val="00493987"/>
    <w:rsid w:val="004A45FD"/>
    <w:rsid w:val="004B510C"/>
    <w:rsid w:val="004D4FC6"/>
    <w:rsid w:val="004D5B9E"/>
    <w:rsid w:val="004E2E0D"/>
    <w:rsid w:val="004F0C83"/>
    <w:rsid w:val="004F2DFF"/>
    <w:rsid w:val="00506E6C"/>
    <w:rsid w:val="00512409"/>
    <w:rsid w:val="00521637"/>
    <w:rsid w:val="00534014"/>
    <w:rsid w:val="00536169"/>
    <w:rsid w:val="00551797"/>
    <w:rsid w:val="005548F7"/>
    <w:rsid w:val="00555F45"/>
    <w:rsid w:val="005627B9"/>
    <w:rsid w:val="00564CED"/>
    <w:rsid w:val="00575785"/>
    <w:rsid w:val="0058091E"/>
    <w:rsid w:val="00591D80"/>
    <w:rsid w:val="00594696"/>
    <w:rsid w:val="00595F12"/>
    <w:rsid w:val="005A17BD"/>
    <w:rsid w:val="005A7A5E"/>
    <w:rsid w:val="005B170C"/>
    <w:rsid w:val="005C366F"/>
    <w:rsid w:val="005D19E2"/>
    <w:rsid w:val="005D39CB"/>
    <w:rsid w:val="005E3B75"/>
    <w:rsid w:val="005F7A01"/>
    <w:rsid w:val="00602022"/>
    <w:rsid w:val="006029AB"/>
    <w:rsid w:val="00604422"/>
    <w:rsid w:val="00604795"/>
    <w:rsid w:val="00616288"/>
    <w:rsid w:val="00622B82"/>
    <w:rsid w:val="00626A0F"/>
    <w:rsid w:val="006320A2"/>
    <w:rsid w:val="00632167"/>
    <w:rsid w:val="00632BBB"/>
    <w:rsid w:val="0064114D"/>
    <w:rsid w:val="00642DB0"/>
    <w:rsid w:val="006446C7"/>
    <w:rsid w:val="00645723"/>
    <w:rsid w:val="00646112"/>
    <w:rsid w:val="0065337D"/>
    <w:rsid w:val="00653972"/>
    <w:rsid w:val="006566CA"/>
    <w:rsid w:val="00660BB4"/>
    <w:rsid w:val="0066341B"/>
    <w:rsid w:val="006759E9"/>
    <w:rsid w:val="00676B99"/>
    <w:rsid w:val="0067786C"/>
    <w:rsid w:val="00680921"/>
    <w:rsid w:val="006904EB"/>
    <w:rsid w:val="00692311"/>
    <w:rsid w:val="00692512"/>
    <w:rsid w:val="0069455C"/>
    <w:rsid w:val="00695688"/>
    <w:rsid w:val="006958D6"/>
    <w:rsid w:val="00697146"/>
    <w:rsid w:val="006A1541"/>
    <w:rsid w:val="006A2C29"/>
    <w:rsid w:val="006A6575"/>
    <w:rsid w:val="006B28E8"/>
    <w:rsid w:val="006C269C"/>
    <w:rsid w:val="006C548D"/>
    <w:rsid w:val="006C7F3E"/>
    <w:rsid w:val="006D0BFF"/>
    <w:rsid w:val="006D2D92"/>
    <w:rsid w:val="006D3587"/>
    <w:rsid w:val="006D4D80"/>
    <w:rsid w:val="006E06A3"/>
    <w:rsid w:val="006E0F11"/>
    <w:rsid w:val="006E6433"/>
    <w:rsid w:val="006E7ECA"/>
    <w:rsid w:val="00701615"/>
    <w:rsid w:val="00703D65"/>
    <w:rsid w:val="0070425C"/>
    <w:rsid w:val="00713BC1"/>
    <w:rsid w:val="00716C68"/>
    <w:rsid w:val="007256D7"/>
    <w:rsid w:val="00725C99"/>
    <w:rsid w:val="0073552F"/>
    <w:rsid w:val="00743B9F"/>
    <w:rsid w:val="007745C9"/>
    <w:rsid w:val="0078230F"/>
    <w:rsid w:val="0079720B"/>
    <w:rsid w:val="007A0415"/>
    <w:rsid w:val="007A2B0A"/>
    <w:rsid w:val="007A4734"/>
    <w:rsid w:val="007A7AA3"/>
    <w:rsid w:val="007B0C35"/>
    <w:rsid w:val="007B22F5"/>
    <w:rsid w:val="007B35FD"/>
    <w:rsid w:val="007D7220"/>
    <w:rsid w:val="007E6D20"/>
    <w:rsid w:val="00801964"/>
    <w:rsid w:val="008165B0"/>
    <w:rsid w:val="00821B5A"/>
    <w:rsid w:val="008275B8"/>
    <w:rsid w:val="00827A11"/>
    <w:rsid w:val="008343F3"/>
    <w:rsid w:val="00841F44"/>
    <w:rsid w:val="008504F7"/>
    <w:rsid w:val="00850730"/>
    <w:rsid w:val="0085500C"/>
    <w:rsid w:val="008662C3"/>
    <w:rsid w:val="008762BD"/>
    <w:rsid w:val="00877A0A"/>
    <w:rsid w:val="00884F52"/>
    <w:rsid w:val="008A008D"/>
    <w:rsid w:val="008A5754"/>
    <w:rsid w:val="008B4FF5"/>
    <w:rsid w:val="008B6019"/>
    <w:rsid w:val="008B7E9A"/>
    <w:rsid w:val="008C5A3F"/>
    <w:rsid w:val="008C6CA7"/>
    <w:rsid w:val="008D0317"/>
    <w:rsid w:val="008D49B0"/>
    <w:rsid w:val="008D72A1"/>
    <w:rsid w:val="008D7A73"/>
    <w:rsid w:val="008E13EF"/>
    <w:rsid w:val="008E4B04"/>
    <w:rsid w:val="008E681A"/>
    <w:rsid w:val="008F70BD"/>
    <w:rsid w:val="00917FBA"/>
    <w:rsid w:val="0093342D"/>
    <w:rsid w:val="009338BA"/>
    <w:rsid w:val="00945A38"/>
    <w:rsid w:val="00954249"/>
    <w:rsid w:val="0095528C"/>
    <w:rsid w:val="009711D0"/>
    <w:rsid w:val="009761E5"/>
    <w:rsid w:val="00982236"/>
    <w:rsid w:val="0098630E"/>
    <w:rsid w:val="00987E1C"/>
    <w:rsid w:val="009916B8"/>
    <w:rsid w:val="009A11A4"/>
    <w:rsid w:val="009A20F6"/>
    <w:rsid w:val="009A2806"/>
    <w:rsid w:val="009B244A"/>
    <w:rsid w:val="009D2E86"/>
    <w:rsid w:val="009D5335"/>
    <w:rsid w:val="009E4357"/>
    <w:rsid w:val="009F40E3"/>
    <w:rsid w:val="009F77D6"/>
    <w:rsid w:val="00A01CF0"/>
    <w:rsid w:val="00A11DE8"/>
    <w:rsid w:val="00A1410C"/>
    <w:rsid w:val="00A47695"/>
    <w:rsid w:val="00A503C5"/>
    <w:rsid w:val="00A50D45"/>
    <w:rsid w:val="00A57204"/>
    <w:rsid w:val="00A60EDD"/>
    <w:rsid w:val="00A6290A"/>
    <w:rsid w:val="00A75072"/>
    <w:rsid w:val="00A76C9E"/>
    <w:rsid w:val="00A83C6B"/>
    <w:rsid w:val="00A87908"/>
    <w:rsid w:val="00A93DCD"/>
    <w:rsid w:val="00A94B34"/>
    <w:rsid w:val="00AA0740"/>
    <w:rsid w:val="00AA4533"/>
    <w:rsid w:val="00AA6DD1"/>
    <w:rsid w:val="00AA7AB4"/>
    <w:rsid w:val="00AB1990"/>
    <w:rsid w:val="00AB683D"/>
    <w:rsid w:val="00AC475B"/>
    <w:rsid w:val="00AD1E1C"/>
    <w:rsid w:val="00AD4D64"/>
    <w:rsid w:val="00AE6A3A"/>
    <w:rsid w:val="00AF3C77"/>
    <w:rsid w:val="00AF3E21"/>
    <w:rsid w:val="00AF6480"/>
    <w:rsid w:val="00B106CE"/>
    <w:rsid w:val="00B11382"/>
    <w:rsid w:val="00B16219"/>
    <w:rsid w:val="00B17064"/>
    <w:rsid w:val="00B20515"/>
    <w:rsid w:val="00B206AF"/>
    <w:rsid w:val="00B27092"/>
    <w:rsid w:val="00B302F7"/>
    <w:rsid w:val="00B349AB"/>
    <w:rsid w:val="00B36865"/>
    <w:rsid w:val="00B41F79"/>
    <w:rsid w:val="00B4477F"/>
    <w:rsid w:val="00B47F18"/>
    <w:rsid w:val="00B563C2"/>
    <w:rsid w:val="00B6018B"/>
    <w:rsid w:val="00B62EA4"/>
    <w:rsid w:val="00B635B4"/>
    <w:rsid w:val="00B71A67"/>
    <w:rsid w:val="00B72B2C"/>
    <w:rsid w:val="00B7306C"/>
    <w:rsid w:val="00B959C7"/>
    <w:rsid w:val="00B970D5"/>
    <w:rsid w:val="00BA0DFB"/>
    <w:rsid w:val="00BA1421"/>
    <w:rsid w:val="00BA23BB"/>
    <w:rsid w:val="00BA4D39"/>
    <w:rsid w:val="00BB37E2"/>
    <w:rsid w:val="00BB3EA1"/>
    <w:rsid w:val="00BC30B0"/>
    <w:rsid w:val="00BC4684"/>
    <w:rsid w:val="00BC7811"/>
    <w:rsid w:val="00BD37FC"/>
    <w:rsid w:val="00BF74D2"/>
    <w:rsid w:val="00C03C03"/>
    <w:rsid w:val="00C128BF"/>
    <w:rsid w:val="00C1709A"/>
    <w:rsid w:val="00C17CAF"/>
    <w:rsid w:val="00C25A49"/>
    <w:rsid w:val="00C4410E"/>
    <w:rsid w:val="00C5299C"/>
    <w:rsid w:val="00C61694"/>
    <w:rsid w:val="00C619CD"/>
    <w:rsid w:val="00C9462D"/>
    <w:rsid w:val="00CB6D5B"/>
    <w:rsid w:val="00CB74FD"/>
    <w:rsid w:val="00CC2714"/>
    <w:rsid w:val="00CC3811"/>
    <w:rsid w:val="00CC6A23"/>
    <w:rsid w:val="00CC7F11"/>
    <w:rsid w:val="00CD3EA7"/>
    <w:rsid w:val="00CE642C"/>
    <w:rsid w:val="00CF46D7"/>
    <w:rsid w:val="00CF6AFD"/>
    <w:rsid w:val="00D0099D"/>
    <w:rsid w:val="00D0544A"/>
    <w:rsid w:val="00D063BB"/>
    <w:rsid w:val="00D1307A"/>
    <w:rsid w:val="00D171E0"/>
    <w:rsid w:val="00D174D5"/>
    <w:rsid w:val="00D21974"/>
    <w:rsid w:val="00D319D6"/>
    <w:rsid w:val="00D3389C"/>
    <w:rsid w:val="00D4007D"/>
    <w:rsid w:val="00D4351A"/>
    <w:rsid w:val="00D45010"/>
    <w:rsid w:val="00D4760A"/>
    <w:rsid w:val="00D51B39"/>
    <w:rsid w:val="00D52E73"/>
    <w:rsid w:val="00D60605"/>
    <w:rsid w:val="00D724B3"/>
    <w:rsid w:val="00D7577F"/>
    <w:rsid w:val="00D80791"/>
    <w:rsid w:val="00D83AAF"/>
    <w:rsid w:val="00D850B1"/>
    <w:rsid w:val="00D86796"/>
    <w:rsid w:val="00D907A8"/>
    <w:rsid w:val="00D9192D"/>
    <w:rsid w:val="00D91B45"/>
    <w:rsid w:val="00D939A7"/>
    <w:rsid w:val="00D94B54"/>
    <w:rsid w:val="00DA6FEC"/>
    <w:rsid w:val="00DB3995"/>
    <w:rsid w:val="00DB4F51"/>
    <w:rsid w:val="00DB57AC"/>
    <w:rsid w:val="00DB63B8"/>
    <w:rsid w:val="00DE11E2"/>
    <w:rsid w:val="00E05271"/>
    <w:rsid w:val="00E065D0"/>
    <w:rsid w:val="00E072AB"/>
    <w:rsid w:val="00E1049A"/>
    <w:rsid w:val="00E11CD3"/>
    <w:rsid w:val="00E120C1"/>
    <w:rsid w:val="00E15129"/>
    <w:rsid w:val="00E2028C"/>
    <w:rsid w:val="00E20D0B"/>
    <w:rsid w:val="00E32667"/>
    <w:rsid w:val="00E34528"/>
    <w:rsid w:val="00E35CED"/>
    <w:rsid w:val="00E37446"/>
    <w:rsid w:val="00E40C1E"/>
    <w:rsid w:val="00E41F20"/>
    <w:rsid w:val="00E5512A"/>
    <w:rsid w:val="00E56AA1"/>
    <w:rsid w:val="00E5736F"/>
    <w:rsid w:val="00E73BF0"/>
    <w:rsid w:val="00EA06D8"/>
    <w:rsid w:val="00EA36DB"/>
    <w:rsid w:val="00EA3900"/>
    <w:rsid w:val="00EA6DDA"/>
    <w:rsid w:val="00EB2146"/>
    <w:rsid w:val="00EB24F4"/>
    <w:rsid w:val="00EB611C"/>
    <w:rsid w:val="00EB6762"/>
    <w:rsid w:val="00EC2234"/>
    <w:rsid w:val="00EC4475"/>
    <w:rsid w:val="00EC6C83"/>
    <w:rsid w:val="00EC72B8"/>
    <w:rsid w:val="00EC73C2"/>
    <w:rsid w:val="00ED0D7E"/>
    <w:rsid w:val="00ED123C"/>
    <w:rsid w:val="00ED20BD"/>
    <w:rsid w:val="00EE18F6"/>
    <w:rsid w:val="00EF0B3E"/>
    <w:rsid w:val="00F046EB"/>
    <w:rsid w:val="00F06EF9"/>
    <w:rsid w:val="00F07F54"/>
    <w:rsid w:val="00F13992"/>
    <w:rsid w:val="00F20A58"/>
    <w:rsid w:val="00F26103"/>
    <w:rsid w:val="00F270B0"/>
    <w:rsid w:val="00F2768A"/>
    <w:rsid w:val="00F30213"/>
    <w:rsid w:val="00F378F7"/>
    <w:rsid w:val="00F37A3C"/>
    <w:rsid w:val="00F434D3"/>
    <w:rsid w:val="00F55CA0"/>
    <w:rsid w:val="00F65F3A"/>
    <w:rsid w:val="00F6715C"/>
    <w:rsid w:val="00F737A7"/>
    <w:rsid w:val="00F824D5"/>
    <w:rsid w:val="00F87169"/>
    <w:rsid w:val="00F900CB"/>
    <w:rsid w:val="00F91128"/>
    <w:rsid w:val="00FA4590"/>
    <w:rsid w:val="00FA7228"/>
    <w:rsid w:val="00FB0A89"/>
    <w:rsid w:val="00FB4643"/>
    <w:rsid w:val="00FC0B1F"/>
    <w:rsid w:val="00FC120A"/>
    <w:rsid w:val="00FC4960"/>
    <w:rsid w:val="00FD01B2"/>
    <w:rsid w:val="00FD5AEB"/>
    <w:rsid w:val="00FE7385"/>
    <w:rsid w:val="00FE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B8F13"/>
  <w15:chartTrackingRefBased/>
  <w15:docId w15:val="{1E8F8082-53D1-4901-9096-F43484ED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6865"/>
  </w:style>
  <w:style w:type="paragraph" w:styleId="1">
    <w:name w:val="heading 1"/>
    <w:basedOn w:val="a"/>
    <w:next w:val="a"/>
    <w:link w:val="10"/>
    <w:qFormat/>
    <w:rsid w:val="002D04AE"/>
    <w:pPr>
      <w:keepNext/>
      <w:spacing w:after="0" w:line="240" w:lineRule="auto"/>
      <w:jc w:val="both"/>
      <w:outlineLvl w:val="0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04AE"/>
    <w:rPr>
      <w:rFonts w:ascii="Calibri" w:eastAsia="Times New Roman" w:hAnsi="Calibri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D04AE"/>
  </w:style>
  <w:style w:type="paragraph" w:styleId="a3">
    <w:name w:val="List Paragraph"/>
    <w:aliases w:val="List Paragraph 1,NUMBERED PARAGRAPH,Bullets,PAD,References,List_Paragraph,Multilevel para_II,List Paragraph1,Akapit z listą BS,List Paragraph (numbered (a)),IBL List Paragraph,List Paragraph nowy,Numbered List Paragraph,Bullet1"/>
    <w:basedOn w:val="a"/>
    <w:link w:val="a4"/>
    <w:uiPriority w:val="34"/>
    <w:qFormat/>
    <w:rsid w:val="002D04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2D04A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2D04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2D04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39"/>
    <w:rsid w:val="002D0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D04A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2D04A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2D04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2D04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2D04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2D04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D04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2D04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14">
    <w:name w:val="Основной 14+"/>
    <w:basedOn w:val="a"/>
    <w:link w:val="140"/>
    <w:rsid w:val="002D04A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40">
    <w:name w:val="Основной 14+ Знак"/>
    <w:link w:val="14"/>
    <w:rsid w:val="002D04A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13">
    <w:name w:val="Font Style13"/>
    <w:uiPriority w:val="99"/>
    <w:rsid w:val="002D04AE"/>
    <w:rPr>
      <w:rFonts w:ascii="Times New Roman" w:hAnsi="Times New Roman" w:cs="Times New Roman"/>
      <w:sz w:val="22"/>
      <w:szCs w:val="22"/>
    </w:rPr>
  </w:style>
  <w:style w:type="paragraph" w:styleId="ae">
    <w:name w:val="Normal (Web)"/>
    <w:basedOn w:val="a"/>
    <w:uiPriority w:val="99"/>
    <w:rsid w:val="002D04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2D04AE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D04A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D04A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">
    <w:name w:val="Placeholder Text"/>
    <w:basedOn w:val="a0"/>
    <w:uiPriority w:val="99"/>
    <w:semiHidden/>
    <w:rsid w:val="002D04AE"/>
    <w:rPr>
      <w:color w:val="808080"/>
    </w:rPr>
  </w:style>
  <w:style w:type="character" w:customStyle="1" w:styleId="13">
    <w:name w:val="Стиль1"/>
    <w:basedOn w:val="a0"/>
    <w:uiPriority w:val="1"/>
    <w:rsid w:val="002D04AE"/>
    <w:rPr>
      <w:rFonts w:ascii="Times New Roman" w:hAnsi="Times New Roman"/>
      <w:sz w:val="18"/>
    </w:rPr>
  </w:style>
  <w:style w:type="character" w:customStyle="1" w:styleId="a4">
    <w:name w:val="Абзац списка Знак"/>
    <w:aliases w:val="List Paragraph 1 Знак,NUMBERED PARAGRAPH Знак,Bullets Знак,PAD Знак,References Знак,List_Paragraph Знак,Multilevel para_II Знак,List Paragraph1 Знак,Akapit z listą BS Знак,List Paragraph (numbered (a)) Знак,IBL List Paragraph Знак"/>
    <w:link w:val="a3"/>
    <w:uiPriority w:val="34"/>
    <w:locked/>
    <w:rsid w:val="002D04AE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2D04AE"/>
  </w:style>
  <w:style w:type="table" w:customStyle="1" w:styleId="15">
    <w:name w:val="Сетка таблицы1"/>
    <w:basedOn w:val="a1"/>
    <w:next w:val="a7"/>
    <w:uiPriority w:val="59"/>
    <w:rsid w:val="002D0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note text"/>
    <w:basedOn w:val="a"/>
    <w:link w:val="af1"/>
    <w:rsid w:val="002D04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rsid w:val="002D04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rsid w:val="002D04AE"/>
    <w:rPr>
      <w:vertAlign w:val="superscript"/>
    </w:rPr>
  </w:style>
  <w:style w:type="paragraph" w:customStyle="1" w:styleId="ConsPlusTitle">
    <w:name w:val="ConsPlusTitle"/>
    <w:uiPriority w:val="99"/>
    <w:rsid w:val="002D04A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Preamble">
    <w:name w:val="Preamble"/>
    <w:basedOn w:val="2"/>
    <w:rsid w:val="002D04AE"/>
    <w:pPr>
      <w:spacing w:after="0" w:line="240" w:lineRule="auto"/>
      <w:ind w:right="-57" w:firstLine="709"/>
    </w:pPr>
    <w:rPr>
      <w:sz w:val="30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2D04A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2D04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annotation reference"/>
    <w:basedOn w:val="a0"/>
    <w:uiPriority w:val="99"/>
    <w:semiHidden/>
    <w:unhideWhenUsed/>
    <w:rsid w:val="002D04AE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D04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D04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D04A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D04A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ontStyle38">
    <w:name w:val="Font Style38"/>
    <w:rsid w:val="002D04AE"/>
    <w:rPr>
      <w:rFonts w:ascii="Times New Roman" w:hAnsi="Times New Roman" w:cs="Times New Roman"/>
      <w:color w:val="000000"/>
      <w:sz w:val="26"/>
      <w:szCs w:val="26"/>
    </w:rPr>
  </w:style>
  <w:style w:type="table" w:customStyle="1" w:styleId="21">
    <w:name w:val="Сетка таблицы21"/>
    <w:basedOn w:val="a1"/>
    <w:next w:val="a7"/>
    <w:uiPriority w:val="59"/>
    <w:rsid w:val="002D0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7"/>
    <w:uiPriority w:val="59"/>
    <w:rsid w:val="002D0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2D04AE"/>
    <w:rPr>
      <w:color w:val="0000FF"/>
      <w:u w:val="single"/>
    </w:rPr>
  </w:style>
  <w:style w:type="paragraph" w:customStyle="1" w:styleId="16">
    <w:name w:val="Текст1"/>
    <w:basedOn w:val="a"/>
    <w:next w:val="af9"/>
    <w:link w:val="afa"/>
    <w:uiPriority w:val="99"/>
    <w:unhideWhenUsed/>
    <w:rsid w:val="002D04AE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0"/>
    <w:link w:val="16"/>
    <w:uiPriority w:val="99"/>
    <w:rsid w:val="002D04AE"/>
    <w:rPr>
      <w:rFonts w:ascii="Calibri" w:hAnsi="Calibri"/>
      <w:szCs w:val="21"/>
    </w:rPr>
  </w:style>
  <w:style w:type="numbering" w:customStyle="1" w:styleId="111">
    <w:name w:val="Нет списка111"/>
    <w:next w:val="a2"/>
    <w:uiPriority w:val="99"/>
    <w:semiHidden/>
    <w:unhideWhenUsed/>
    <w:rsid w:val="002D04AE"/>
  </w:style>
  <w:style w:type="character" w:styleId="afb">
    <w:name w:val="Strong"/>
    <w:basedOn w:val="a0"/>
    <w:qFormat/>
    <w:rsid w:val="002D04AE"/>
    <w:rPr>
      <w:b/>
      <w:bCs/>
    </w:rPr>
  </w:style>
  <w:style w:type="character" w:styleId="afc">
    <w:name w:val="Emphasis"/>
    <w:basedOn w:val="a0"/>
    <w:qFormat/>
    <w:rsid w:val="002D04AE"/>
    <w:rPr>
      <w:i/>
      <w:iCs/>
    </w:rPr>
  </w:style>
  <w:style w:type="table" w:customStyle="1" w:styleId="22">
    <w:name w:val="Сетка таблицы2"/>
    <w:basedOn w:val="a1"/>
    <w:next w:val="a7"/>
    <w:uiPriority w:val="59"/>
    <w:rsid w:val="002D04A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"/>
    <w:basedOn w:val="a1"/>
    <w:next w:val="a7"/>
    <w:uiPriority w:val="59"/>
    <w:rsid w:val="002D0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7"/>
    <w:uiPriority w:val="99"/>
    <w:rsid w:val="002D04A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7"/>
    <w:uiPriority w:val="99"/>
    <w:rsid w:val="002D04A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7"/>
    <w:uiPriority w:val="59"/>
    <w:rsid w:val="002D0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Plain Text"/>
    <w:basedOn w:val="a"/>
    <w:link w:val="17"/>
    <w:uiPriority w:val="99"/>
    <w:unhideWhenUsed/>
    <w:rsid w:val="002D04A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17">
    <w:name w:val="Текст Знак1"/>
    <w:basedOn w:val="a0"/>
    <w:link w:val="af9"/>
    <w:uiPriority w:val="99"/>
    <w:rsid w:val="002D04AE"/>
    <w:rPr>
      <w:rFonts w:ascii="Consolas" w:hAnsi="Consolas"/>
      <w:sz w:val="21"/>
      <w:szCs w:val="21"/>
    </w:rPr>
  </w:style>
  <w:style w:type="paragraph" w:styleId="afd">
    <w:name w:val="No Spacing"/>
    <w:link w:val="afe"/>
    <w:uiPriority w:val="1"/>
    <w:qFormat/>
    <w:rsid w:val="002D04AE"/>
    <w:pPr>
      <w:spacing w:after="0" w:line="240" w:lineRule="auto"/>
    </w:pPr>
    <w:rPr>
      <w:rFonts w:eastAsiaTheme="minorEastAsia"/>
      <w:lang w:eastAsia="ru-RU"/>
    </w:rPr>
  </w:style>
  <w:style w:type="character" w:customStyle="1" w:styleId="afe">
    <w:name w:val="Без интервала Знак"/>
    <w:basedOn w:val="a0"/>
    <w:link w:val="afd"/>
    <w:uiPriority w:val="1"/>
    <w:rsid w:val="002D04AE"/>
    <w:rPr>
      <w:rFonts w:eastAsiaTheme="minorEastAsia"/>
      <w:lang w:eastAsia="ru-RU"/>
    </w:rPr>
  </w:style>
  <w:style w:type="paragraph" w:styleId="aff">
    <w:name w:val="Revision"/>
    <w:hidden/>
    <w:uiPriority w:val="99"/>
    <w:semiHidden/>
    <w:rsid w:val="00DB57AC"/>
    <w:pPr>
      <w:spacing w:after="0" w:line="240" w:lineRule="auto"/>
    </w:pPr>
  </w:style>
  <w:style w:type="paragraph" w:styleId="aff0">
    <w:name w:val="endnote text"/>
    <w:basedOn w:val="a"/>
    <w:link w:val="aff1"/>
    <w:uiPriority w:val="99"/>
    <w:semiHidden/>
    <w:unhideWhenUsed/>
    <w:rsid w:val="008B4FF5"/>
    <w:pPr>
      <w:spacing w:after="0" w:line="240" w:lineRule="auto"/>
    </w:pPr>
    <w:rPr>
      <w:sz w:val="20"/>
      <w:szCs w:val="20"/>
    </w:rPr>
  </w:style>
  <w:style w:type="character" w:customStyle="1" w:styleId="aff1">
    <w:name w:val="Текст концевой сноски Знак"/>
    <w:basedOn w:val="a0"/>
    <w:link w:val="aff0"/>
    <w:uiPriority w:val="99"/>
    <w:semiHidden/>
    <w:rsid w:val="008B4FF5"/>
    <w:rPr>
      <w:sz w:val="20"/>
      <w:szCs w:val="20"/>
    </w:rPr>
  </w:style>
  <w:style w:type="character" w:styleId="aff2">
    <w:name w:val="endnote reference"/>
    <w:basedOn w:val="a0"/>
    <w:uiPriority w:val="99"/>
    <w:semiHidden/>
    <w:unhideWhenUsed/>
    <w:rsid w:val="008B4F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13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E503C-403F-4BF9-8904-73A65D441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Банк развития Республики Беларусь</Company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Кухтик Артем Андреевич</dc:creator>
  <cp:keywords/>
  <dc:description/>
  <cp:lastModifiedBy>Светлана Субботина</cp:lastModifiedBy>
  <cp:revision>10</cp:revision>
  <cp:lastPrinted>2024-07-04T06:09:00Z</cp:lastPrinted>
  <dcterms:created xsi:type="dcterms:W3CDTF">2024-07-04T06:09:00Z</dcterms:created>
  <dcterms:modified xsi:type="dcterms:W3CDTF">2024-07-04T12:16:00Z</dcterms:modified>
</cp:coreProperties>
</file>